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7B6" w:rsidR="000D4A95" w:rsidP="000D4A95" w:rsidRDefault="000D4A95" w14:paraId="5D37821A" w14:textId="77777777">
      <w:pPr>
        <w:pStyle w:val="Title"/>
        <w:rPr>
          <w:rFonts w:ascii="Calibri" w:hAnsi="Calibri" w:cs="Calibri"/>
          <w:b/>
          <w:sz w:val="24"/>
          <w:szCs w:val="24"/>
        </w:rPr>
      </w:pPr>
      <w:r w:rsidRPr="003957B6">
        <w:rPr>
          <w:rFonts w:ascii="Calibri" w:hAnsi="Calibri" w:cs="Calibri"/>
          <w:b/>
          <w:sz w:val="24"/>
          <w:szCs w:val="24"/>
        </w:rPr>
        <w:t>Conference on Instruction</w:t>
      </w:r>
      <w:r w:rsidRPr="003957B6" w:rsidR="00BD0DCF">
        <w:rPr>
          <w:rFonts w:ascii="Calibri" w:hAnsi="Calibri" w:cs="Calibri"/>
          <w:b/>
          <w:sz w:val="24"/>
          <w:szCs w:val="24"/>
        </w:rPr>
        <w:t xml:space="preserve"> &amp;</w:t>
      </w:r>
      <w:r w:rsidRPr="003957B6">
        <w:rPr>
          <w:rFonts w:ascii="Calibri" w:hAnsi="Calibri" w:cs="Calibri"/>
          <w:b/>
          <w:sz w:val="24"/>
          <w:szCs w:val="24"/>
        </w:rPr>
        <w:t xml:space="preserve"> Technolog</w:t>
      </w:r>
      <w:r w:rsidRPr="003957B6" w:rsidR="00BD0DCF">
        <w:rPr>
          <w:rFonts w:ascii="Calibri" w:hAnsi="Calibri" w:cs="Calibri"/>
          <w:b/>
          <w:sz w:val="24"/>
          <w:szCs w:val="24"/>
        </w:rPr>
        <w:t>y</w:t>
      </w:r>
      <w:r w:rsidR="00EB089F">
        <w:rPr>
          <w:rFonts w:ascii="Calibri" w:hAnsi="Calibri" w:cs="Calibri"/>
          <w:b/>
          <w:sz w:val="24"/>
          <w:szCs w:val="24"/>
        </w:rPr>
        <w:t xml:space="preserve"> (CIT)</w:t>
      </w:r>
    </w:p>
    <w:p w:rsidRPr="003957B6" w:rsidR="000D4A95" w:rsidP="000D4A95" w:rsidRDefault="00876E53" w14:paraId="35870A72" w14:textId="77777777">
      <w:pPr>
        <w:pStyle w:val="Subtitle"/>
        <w:rPr>
          <w:rFonts w:ascii="Calibri" w:hAnsi="Calibri" w:cs="Calibri"/>
          <w:b/>
          <w:sz w:val="24"/>
          <w:szCs w:val="24"/>
        </w:rPr>
      </w:pPr>
      <w:r w:rsidRPr="003957B6">
        <w:rPr>
          <w:rFonts w:ascii="Calibri" w:hAnsi="Calibri" w:cs="Calibri"/>
          <w:b/>
          <w:sz w:val="24"/>
          <w:szCs w:val="24"/>
        </w:rPr>
        <w:t>Addendum</w:t>
      </w:r>
      <w:r w:rsidRPr="003957B6" w:rsidR="00595A21">
        <w:rPr>
          <w:rFonts w:ascii="Calibri" w:hAnsi="Calibri" w:cs="Calibri"/>
          <w:b/>
          <w:sz w:val="24"/>
          <w:szCs w:val="24"/>
        </w:rPr>
        <w:t xml:space="preserve"> A</w:t>
      </w:r>
      <w:r w:rsidR="00983F58">
        <w:rPr>
          <w:rFonts w:ascii="Calibri" w:hAnsi="Calibri" w:cs="Calibri"/>
          <w:b/>
          <w:sz w:val="24"/>
          <w:szCs w:val="24"/>
        </w:rPr>
        <w:t xml:space="preserve"> – Host Campus Requirements</w:t>
      </w:r>
    </w:p>
    <w:p w:rsidRPr="00EA1444" w:rsidR="00876E53" w:rsidP="000D4A95" w:rsidRDefault="00876E53" w14:paraId="18A87994" w14:textId="77777777">
      <w:pPr>
        <w:pStyle w:val="Subtitle"/>
        <w:rPr>
          <w:rFonts w:ascii="Calibri" w:hAnsi="Calibri" w:cs="Calibri"/>
          <w:sz w:val="22"/>
          <w:szCs w:val="22"/>
        </w:rPr>
      </w:pPr>
    </w:p>
    <w:p w:rsidRPr="00EA1444" w:rsidR="000D4A95" w:rsidP="000D4A95" w:rsidRDefault="000D4A95" w14:paraId="124CE528" w14:textId="77777777">
      <w:pPr>
        <w:rPr>
          <w:rFonts w:ascii="Calibri" w:hAnsi="Calibri" w:cs="Calibri"/>
          <w:sz w:val="22"/>
          <w:szCs w:val="22"/>
        </w:rPr>
      </w:pPr>
    </w:p>
    <w:p w:rsidRPr="00EA1444" w:rsidR="000D4A95" w:rsidP="3C35F026" w:rsidRDefault="000D4A95" w14:paraId="2AFFE076" w14:textId="5BFE4BE0">
      <w:pPr>
        <w:pStyle w:val="BodyText"/>
        <w:numPr>
          <w:ilvl w:val="0"/>
          <w:numId w:val="14"/>
        </w:numPr>
        <w:rPr>
          <w:rFonts w:ascii="Calibri" w:hAnsi="Calibri" w:cs="Calibri"/>
        </w:rPr>
      </w:pPr>
      <w:r w:rsidRPr="3C35F026" w:rsidR="000D4A95">
        <w:rPr>
          <w:rFonts w:ascii="Calibri" w:hAnsi="Calibri" w:cs="Calibri"/>
        </w:rPr>
        <w:t>Availability</w:t>
      </w:r>
      <w:r w:rsidRPr="3C35F026" w:rsidR="60A13269">
        <w:rPr>
          <w:rFonts w:ascii="Calibri" w:hAnsi="Calibri" w:cs="Calibri"/>
        </w:rPr>
        <w:t xml:space="preserve"> preferably</w:t>
      </w:r>
      <w:r w:rsidRPr="3C35F026" w:rsidR="000D4A95">
        <w:rPr>
          <w:rFonts w:ascii="Calibri" w:hAnsi="Calibri" w:cs="Calibri"/>
        </w:rPr>
        <w:t xml:space="preserve"> for the end of May</w:t>
      </w:r>
      <w:r w:rsidRPr="3C35F026" w:rsidR="1F5BD7DB">
        <w:rPr>
          <w:rFonts w:ascii="Calibri" w:hAnsi="Calibri" w:cs="Calibri"/>
        </w:rPr>
        <w:t xml:space="preserve">/June </w:t>
      </w:r>
      <w:r w:rsidRPr="3C35F026" w:rsidR="000D4A95">
        <w:rPr>
          <w:rFonts w:ascii="Calibri" w:hAnsi="Calibri" w:cs="Calibri"/>
        </w:rPr>
        <w:t xml:space="preserve">(either the week prior to or </w:t>
      </w:r>
      <w:r w:rsidRPr="3C35F026" w:rsidR="000D4A95">
        <w:rPr>
          <w:rFonts w:ascii="Calibri" w:hAnsi="Calibri" w:cs="Calibri"/>
        </w:rPr>
        <w:t>immediately</w:t>
      </w:r>
      <w:r w:rsidRPr="3C35F026" w:rsidR="000D4A95">
        <w:rPr>
          <w:rFonts w:ascii="Calibri" w:hAnsi="Calibri" w:cs="Calibri"/>
        </w:rPr>
        <w:t xml:space="preserve"> following the Memorial Day holiday).  </w:t>
      </w:r>
    </w:p>
    <w:p w:rsidRPr="00EA1444" w:rsidR="000D4A95" w:rsidP="000D4A95" w:rsidRDefault="000D4A95" w14:paraId="3552D9CC" w14:textId="77777777">
      <w:pPr>
        <w:pStyle w:val="BodyText"/>
        <w:rPr>
          <w:rFonts w:ascii="Calibri" w:hAnsi="Calibri" w:cs="Calibri"/>
          <w:szCs w:val="22"/>
        </w:rPr>
      </w:pPr>
    </w:p>
    <w:p w:rsidR="00EF7D3F" w:rsidP="00EF7D3F" w:rsidRDefault="00EF7D3F" w14:paraId="467A3329" w14:textId="74349B57">
      <w:pPr>
        <w:pStyle w:val="BodyText"/>
        <w:numPr>
          <w:ilvl w:val="0"/>
          <w:numId w:val="14"/>
        </w:numPr>
        <w:rPr>
          <w:rFonts w:ascii="Calibri" w:hAnsi="Calibri" w:cs="Calibri"/>
          <w:szCs w:val="22"/>
        </w:rPr>
      </w:pPr>
      <w:r w:rsidRPr="00EF7D3F">
        <w:rPr>
          <w:rFonts w:ascii="Calibri" w:hAnsi="Calibri" w:cs="Calibri"/>
          <w:b/>
          <w:szCs w:val="22"/>
        </w:rPr>
        <w:t>Presentation Rooms</w:t>
      </w:r>
      <w:r>
        <w:rPr>
          <w:rFonts w:ascii="Calibri" w:hAnsi="Calibri" w:cs="Calibri"/>
          <w:szCs w:val="22"/>
        </w:rPr>
        <w:t xml:space="preserve">:  </w:t>
      </w:r>
      <w:r w:rsidRPr="00EA1444">
        <w:rPr>
          <w:rFonts w:ascii="Calibri" w:hAnsi="Calibri" w:cs="Calibri"/>
          <w:szCs w:val="22"/>
        </w:rPr>
        <w:t>S</w:t>
      </w:r>
      <w:r>
        <w:rPr>
          <w:rFonts w:ascii="Calibri" w:hAnsi="Calibri" w:cs="Calibri"/>
          <w:szCs w:val="22"/>
        </w:rPr>
        <w:t xml:space="preserve">even </w:t>
      </w:r>
      <w:r w:rsidRPr="00EA1444">
        <w:rPr>
          <w:rFonts w:ascii="Calibri" w:hAnsi="Calibri" w:cs="Calibri"/>
          <w:szCs w:val="22"/>
        </w:rPr>
        <w:t xml:space="preserve">classrooms that can accommodate </w:t>
      </w:r>
      <w:r w:rsidR="0003088A">
        <w:rPr>
          <w:rFonts w:ascii="Calibri" w:hAnsi="Calibri" w:cs="Calibri"/>
          <w:szCs w:val="22"/>
        </w:rPr>
        <w:t xml:space="preserve">concurrent </w:t>
      </w:r>
      <w:r w:rsidRPr="00EA1444">
        <w:rPr>
          <w:rFonts w:ascii="Calibri" w:hAnsi="Calibri" w:cs="Calibri"/>
          <w:szCs w:val="22"/>
        </w:rPr>
        <w:t xml:space="preserve">sessions.  Minimum seating of </w:t>
      </w:r>
      <w:r w:rsidR="000E5AAA">
        <w:rPr>
          <w:rFonts w:ascii="Calibri" w:hAnsi="Calibri" w:cs="Calibri"/>
          <w:szCs w:val="22"/>
        </w:rPr>
        <w:t>3</w:t>
      </w:r>
      <w:r w:rsidRPr="00EA1444">
        <w:rPr>
          <w:rFonts w:ascii="Calibri" w:hAnsi="Calibri" w:cs="Calibri"/>
          <w:szCs w:val="22"/>
        </w:rPr>
        <w:t>5.  Presentat</w:t>
      </w:r>
      <w:r>
        <w:rPr>
          <w:rFonts w:ascii="Calibri" w:hAnsi="Calibri" w:cs="Calibri"/>
          <w:szCs w:val="22"/>
        </w:rPr>
        <w:t>ion rooms should be equipped with project</w:t>
      </w:r>
      <w:r w:rsidR="000E5AAA">
        <w:rPr>
          <w:rFonts w:ascii="Calibri" w:hAnsi="Calibri" w:cs="Calibri"/>
          <w:szCs w:val="22"/>
        </w:rPr>
        <w:t>ion</w:t>
      </w:r>
      <w:r>
        <w:rPr>
          <w:rFonts w:ascii="Calibri" w:hAnsi="Calibri" w:cs="Calibri"/>
          <w:szCs w:val="22"/>
        </w:rPr>
        <w:t xml:space="preserve">, </w:t>
      </w:r>
      <w:r w:rsidR="000E5AAA">
        <w:rPr>
          <w:rFonts w:ascii="Calibri" w:hAnsi="Calibri" w:cs="Calibri"/>
          <w:szCs w:val="22"/>
        </w:rPr>
        <w:t>audio</w:t>
      </w:r>
      <w:r>
        <w:rPr>
          <w:rFonts w:ascii="Calibri" w:hAnsi="Calibri" w:cs="Calibri"/>
          <w:szCs w:val="22"/>
        </w:rPr>
        <w:t>, computer,</w:t>
      </w:r>
      <w:r w:rsidR="000E5AAA">
        <w:rPr>
          <w:rFonts w:ascii="Calibri" w:hAnsi="Calibri" w:cs="Calibri"/>
          <w:szCs w:val="22"/>
        </w:rPr>
        <w:t xml:space="preserve"> </w:t>
      </w:r>
      <w:r>
        <w:rPr>
          <w:rFonts w:ascii="Calibri" w:hAnsi="Calibri" w:cs="Calibri"/>
          <w:szCs w:val="22"/>
        </w:rPr>
        <w:t>or ability for presenter to use own laptop or tablet, and wireless</w:t>
      </w:r>
      <w:r w:rsidRPr="00EA1444">
        <w:rPr>
          <w:rFonts w:ascii="Calibri" w:hAnsi="Calibri" w:cs="Calibri"/>
          <w:szCs w:val="22"/>
        </w:rPr>
        <w:t xml:space="preserve"> Internet access.  </w:t>
      </w:r>
    </w:p>
    <w:p w:rsidRPr="005E5AF4" w:rsidR="0075214A" w:rsidP="005E5AF4" w:rsidRDefault="0075214A" w14:paraId="46BDB30A" w14:textId="77777777">
      <w:pPr>
        <w:rPr>
          <w:rFonts w:ascii="Calibri" w:hAnsi="Calibri" w:cs="Calibri"/>
          <w:szCs w:val="22"/>
        </w:rPr>
      </w:pPr>
    </w:p>
    <w:p w:rsidRPr="00EA1444" w:rsidR="0075214A" w:rsidP="00EF7D3F" w:rsidRDefault="0075214A" w14:paraId="768A4E30" w14:textId="77777777">
      <w:pPr>
        <w:pStyle w:val="BodyText"/>
        <w:numPr>
          <w:ilvl w:val="0"/>
          <w:numId w:val="14"/>
        </w:numPr>
        <w:rPr>
          <w:rFonts w:ascii="Calibri" w:hAnsi="Calibri" w:cs="Calibri"/>
          <w:szCs w:val="22"/>
        </w:rPr>
      </w:pPr>
      <w:r>
        <w:rPr>
          <w:rFonts w:ascii="Calibri" w:hAnsi="Calibri" w:cs="Calibri"/>
          <w:b/>
          <w:szCs w:val="22"/>
        </w:rPr>
        <w:t>Parking:</w:t>
      </w:r>
      <w:r>
        <w:rPr>
          <w:rFonts w:ascii="Calibri" w:hAnsi="Calibri" w:cs="Calibri"/>
          <w:szCs w:val="22"/>
        </w:rPr>
        <w:t xml:space="preserve">  </w:t>
      </w:r>
      <w:r w:rsidR="004D01C4">
        <w:rPr>
          <w:rFonts w:ascii="Calibri" w:hAnsi="Calibri" w:cs="Calibri"/>
          <w:szCs w:val="22"/>
        </w:rPr>
        <w:t>Free p</w:t>
      </w:r>
      <w:r>
        <w:rPr>
          <w:rFonts w:ascii="Calibri" w:hAnsi="Calibri" w:cs="Calibri"/>
          <w:szCs w:val="22"/>
        </w:rPr>
        <w:t xml:space="preserve">arking should include an adequate number of handicapped parking spaces.  It is at the discretion of the host campus if specific lots should be identified in advance or if all lots are open to conference participants. </w:t>
      </w:r>
      <w:r w:rsidR="00EB089F">
        <w:rPr>
          <w:rFonts w:ascii="Calibri" w:hAnsi="Calibri" w:cs="Calibri"/>
          <w:szCs w:val="22"/>
        </w:rPr>
        <w:t xml:space="preserve"> </w:t>
      </w:r>
      <w:r>
        <w:rPr>
          <w:rFonts w:ascii="Calibri" w:hAnsi="Calibri" w:cs="Calibri"/>
          <w:szCs w:val="22"/>
        </w:rPr>
        <w:t>If parking passes or permits are required, the host campus agrees to provide these in advance of the conference to all conference participants.</w:t>
      </w:r>
    </w:p>
    <w:p w:rsidRPr="00EA1444" w:rsidR="00EF7D3F" w:rsidP="00EF7D3F" w:rsidRDefault="00EF7D3F" w14:paraId="32E6732F" w14:textId="77777777">
      <w:pPr>
        <w:pStyle w:val="ListParagraph"/>
        <w:rPr>
          <w:rFonts w:ascii="Calibri" w:hAnsi="Calibri" w:cs="Calibri"/>
          <w:sz w:val="22"/>
          <w:szCs w:val="22"/>
        </w:rPr>
      </w:pPr>
    </w:p>
    <w:p w:rsidR="000E5AAA" w:rsidP="0075214A" w:rsidRDefault="00876E53" w14:paraId="25F9C182" w14:textId="557883F2">
      <w:pPr>
        <w:pStyle w:val="BodyText"/>
        <w:numPr>
          <w:ilvl w:val="0"/>
          <w:numId w:val="14"/>
        </w:numPr>
        <w:rPr>
          <w:rFonts w:ascii="Calibri" w:hAnsi="Calibri" w:cs="Calibri"/>
          <w:szCs w:val="22"/>
        </w:rPr>
      </w:pPr>
      <w:r w:rsidRPr="0075214A">
        <w:rPr>
          <w:rFonts w:ascii="Calibri" w:hAnsi="Calibri" w:cs="Calibri"/>
          <w:b/>
          <w:szCs w:val="22"/>
        </w:rPr>
        <w:t>Dining</w:t>
      </w:r>
      <w:r>
        <w:rPr>
          <w:rFonts w:ascii="Calibri" w:hAnsi="Calibri" w:cs="Calibri"/>
          <w:szCs w:val="22"/>
        </w:rPr>
        <w:t xml:space="preserve">:  </w:t>
      </w:r>
      <w:r w:rsidRPr="00EA1444" w:rsidR="00F058AB">
        <w:rPr>
          <w:rFonts w:ascii="Calibri" w:hAnsi="Calibri" w:cs="Calibri"/>
          <w:szCs w:val="22"/>
        </w:rPr>
        <w:t xml:space="preserve">Capacity to handle </w:t>
      </w:r>
      <w:r w:rsidR="000E5AAA">
        <w:rPr>
          <w:rFonts w:ascii="Calibri" w:hAnsi="Calibri" w:cs="Calibri"/>
          <w:szCs w:val="22"/>
        </w:rPr>
        <w:t>up to 300</w:t>
      </w:r>
      <w:r w:rsidR="00590AF5">
        <w:rPr>
          <w:rFonts w:ascii="Calibri" w:hAnsi="Calibri" w:cs="Calibri"/>
          <w:szCs w:val="22"/>
        </w:rPr>
        <w:t xml:space="preserve"> (overall)</w:t>
      </w:r>
      <w:r w:rsidR="00251971">
        <w:rPr>
          <w:rFonts w:ascii="Calibri" w:hAnsi="Calibri" w:cs="Calibri"/>
          <w:szCs w:val="22"/>
        </w:rPr>
        <w:t xml:space="preserve"> </w:t>
      </w:r>
      <w:r w:rsidRPr="00EA1444" w:rsidR="000D4A95">
        <w:rPr>
          <w:rFonts w:ascii="Calibri" w:hAnsi="Calibri" w:cs="Calibri"/>
          <w:szCs w:val="22"/>
        </w:rPr>
        <w:t>for meals.</w:t>
      </w:r>
      <w:r w:rsidR="00172FDB">
        <w:rPr>
          <w:rFonts w:ascii="Calibri" w:hAnsi="Calibri" w:cs="Calibri"/>
          <w:szCs w:val="22"/>
        </w:rPr>
        <w:t xml:space="preserve">  All catering costs will be paid by the SUNY CPD once a final invoice has been provided by the host campus following the </w:t>
      </w:r>
      <w:r w:rsidRPr="0075214A" w:rsidR="00172FDB">
        <w:rPr>
          <w:rFonts w:ascii="Calibri" w:hAnsi="Calibri" w:cs="Calibri"/>
          <w:szCs w:val="22"/>
        </w:rPr>
        <w:t>completion of the conference.</w:t>
      </w:r>
    </w:p>
    <w:p w:rsidR="000E5AAA" w:rsidP="000E5AAA" w:rsidRDefault="000E5AAA" w14:paraId="79814D1F" w14:textId="77777777">
      <w:pPr>
        <w:pStyle w:val="ListParagraph"/>
        <w:rPr>
          <w:rFonts w:ascii="Calibri" w:hAnsi="Calibri" w:cs="Calibri"/>
          <w:szCs w:val="22"/>
        </w:rPr>
      </w:pPr>
    </w:p>
    <w:p w:rsidR="00172FDB" w:rsidP="000E5AAA" w:rsidRDefault="00172FDB" w14:paraId="7C56CA64" w14:textId="4D07D421">
      <w:pPr>
        <w:pStyle w:val="BodyText"/>
        <w:numPr>
          <w:ilvl w:val="0"/>
          <w:numId w:val="20"/>
        </w:numPr>
        <w:rPr>
          <w:rFonts w:ascii="Calibri" w:hAnsi="Calibri" w:cs="Calibri"/>
          <w:szCs w:val="22"/>
        </w:rPr>
      </w:pPr>
      <w:r>
        <w:rPr>
          <w:rFonts w:ascii="Calibri" w:hAnsi="Calibri" w:cs="Calibri"/>
          <w:szCs w:val="22"/>
        </w:rPr>
        <w:t xml:space="preserve">Welcome Reception – (Tuesday 4-7pm) – location that can accommodate food stations and open networking.  </w:t>
      </w:r>
    </w:p>
    <w:p w:rsidR="000E5AAA" w:rsidP="000E5AAA" w:rsidRDefault="000E5AAA" w14:paraId="2BCDA0C3" w14:textId="0BA96365">
      <w:pPr>
        <w:pStyle w:val="BodyText"/>
        <w:numPr>
          <w:ilvl w:val="0"/>
          <w:numId w:val="20"/>
        </w:numPr>
        <w:rPr>
          <w:rFonts w:ascii="Calibri" w:hAnsi="Calibri" w:cs="Calibri"/>
          <w:szCs w:val="22"/>
        </w:rPr>
      </w:pPr>
      <w:r>
        <w:rPr>
          <w:rFonts w:ascii="Calibri" w:hAnsi="Calibri" w:cs="Calibri"/>
          <w:szCs w:val="22"/>
        </w:rPr>
        <w:t>Breakfast (Wed-Fri) and Lunch (Wed-Thurs) – Dining Hall preferred.</w:t>
      </w:r>
    </w:p>
    <w:p w:rsidR="00172FDB" w:rsidP="000E5AAA" w:rsidRDefault="000E5AAA" w14:paraId="06C05588" w14:textId="77777777">
      <w:pPr>
        <w:pStyle w:val="BodyText"/>
        <w:numPr>
          <w:ilvl w:val="0"/>
          <w:numId w:val="20"/>
        </w:numPr>
        <w:rPr>
          <w:rFonts w:ascii="Calibri" w:hAnsi="Calibri" w:cs="Calibri"/>
          <w:szCs w:val="22"/>
        </w:rPr>
      </w:pPr>
      <w:r>
        <w:rPr>
          <w:rFonts w:ascii="Calibri" w:hAnsi="Calibri" w:cs="Calibri"/>
          <w:szCs w:val="22"/>
        </w:rPr>
        <w:t>FACT</w:t>
      </w:r>
      <w:r w:rsidRPr="00172FDB">
        <w:rPr>
          <w:rFonts w:ascii="Calibri" w:hAnsi="Calibri" w:cs="Calibri"/>
          <w:szCs w:val="22"/>
          <w:vertAlign w:val="superscript"/>
        </w:rPr>
        <w:t>2</w:t>
      </w:r>
      <w:r>
        <w:rPr>
          <w:rFonts w:ascii="Calibri" w:hAnsi="Calibri" w:cs="Calibri"/>
          <w:szCs w:val="22"/>
        </w:rPr>
        <w:t xml:space="preserve"> Lunch </w:t>
      </w:r>
      <w:r w:rsidR="00172FDB">
        <w:rPr>
          <w:rFonts w:ascii="Calibri" w:hAnsi="Calibri" w:cs="Calibri"/>
          <w:szCs w:val="22"/>
        </w:rPr>
        <w:t>– Wednesday (approx. 60-70 attendees) – will need</w:t>
      </w:r>
      <w:r w:rsidRPr="00EA1444" w:rsidR="00F058AB">
        <w:rPr>
          <w:rFonts w:ascii="Calibri" w:hAnsi="Calibri" w:cs="Calibri"/>
          <w:szCs w:val="22"/>
        </w:rPr>
        <w:t xml:space="preserve"> </w:t>
      </w:r>
      <w:r w:rsidR="00172FDB">
        <w:rPr>
          <w:rFonts w:ascii="Calibri" w:hAnsi="Calibri" w:cs="Calibri"/>
          <w:szCs w:val="22"/>
        </w:rPr>
        <w:t>separate room that has projection capability.</w:t>
      </w:r>
      <w:r w:rsidRPr="00EA1444" w:rsidR="00F058AB">
        <w:rPr>
          <w:rFonts w:ascii="Calibri" w:hAnsi="Calibri" w:cs="Calibri"/>
          <w:szCs w:val="22"/>
        </w:rPr>
        <w:t xml:space="preserve"> </w:t>
      </w:r>
    </w:p>
    <w:p w:rsidRPr="0075214A" w:rsidR="000D4A95" w:rsidP="000E5AAA" w:rsidRDefault="00F058AB" w14:paraId="4DDDB3B5" w14:textId="0B6AB8A7">
      <w:pPr>
        <w:pStyle w:val="BodyText"/>
        <w:numPr>
          <w:ilvl w:val="0"/>
          <w:numId w:val="20"/>
        </w:numPr>
        <w:rPr>
          <w:rFonts w:ascii="Calibri" w:hAnsi="Calibri" w:cs="Calibri"/>
          <w:szCs w:val="22"/>
        </w:rPr>
      </w:pPr>
      <w:r w:rsidRPr="00EA1444">
        <w:rPr>
          <w:rFonts w:ascii="Calibri" w:hAnsi="Calibri" w:cs="Calibri"/>
          <w:szCs w:val="22"/>
        </w:rPr>
        <w:t>Wednesday</w:t>
      </w:r>
      <w:r w:rsidR="00172FDB">
        <w:rPr>
          <w:rFonts w:ascii="Calibri" w:hAnsi="Calibri" w:cs="Calibri"/>
          <w:szCs w:val="22"/>
        </w:rPr>
        <w:t xml:space="preserve"> and Thursday</w:t>
      </w:r>
      <w:r w:rsidRPr="00EA1444">
        <w:rPr>
          <w:rFonts w:ascii="Calibri" w:hAnsi="Calibri" w:cs="Calibri"/>
          <w:szCs w:val="22"/>
        </w:rPr>
        <w:t xml:space="preserve"> dinner</w:t>
      </w:r>
      <w:r w:rsidR="00172FDB">
        <w:rPr>
          <w:rFonts w:ascii="Calibri" w:hAnsi="Calibri" w:cs="Calibri"/>
          <w:szCs w:val="22"/>
        </w:rPr>
        <w:t>s</w:t>
      </w:r>
      <w:r w:rsidRPr="00EA1444">
        <w:rPr>
          <w:rFonts w:ascii="Calibri" w:hAnsi="Calibri" w:cs="Calibri"/>
          <w:szCs w:val="22"/>
        </w:rPr>
        <w:t xml:space="preserve"> </w:t>
      </w:r>
      <w:r w:rsidR="00172FDB">
        <w:rPr>
          <w:rFonts w:ascii="Calibri" w:hAnsi="Calibri" w:cs="Calibri"/>
          <w:szCs w:val="22"/>
        </w:rPr>
        <w:t>plus Dessert Reception – dinner should be close to vendor exhibit set-ups</w:t>
      </w:r>
      <w:r w:rsidRPr="00EA1444">
        <w:rPr>
          <w:rFonts w:ascii="Calibri" w:hAnsi="Calibri" w:cs="Calibri"/>
          <w:szCs w:val="22"/>
        </w:rPr>
        <w:t>.</w:t>
      </w:r>
      <w:r w:rsidR="00172FDB">
        <w:rPr>
          <w:rFonts w:ascii="Calibri" w:hAnsi="Calibri" w:cs="Calibri"/>
          <w:szCs w:val="22"/>
        </w:rPr>
        <w:t xml:space="preserve">  Dessert Reception w/coffee and bar should be set up in vendor exhibit area.</w:t>
      </w:r>
      <w:r w:rsidR="0075214A">
        <w:rPr>
          <w:rFonts w:ascii="Calibri" w:hAnsi="Calibri" w:cs="Calibri"/>
          <w:szCs w:val="22"/>
        </w:rPr>
        <w:t xml:space="preserve">  </w:t>
      </w:r>
    </w:p>
    <w:p w:rsidRPr="00EA1444" w:rsidR="000D4A95" w:rsidP="000D4A95" w:rsidRDefault="000D4A95" w14:paraId="4D43F43B" w14:textId="77777777">
      <w:pPr>
        <w:pStyle w:val="BodyText"/>
        <w:rPr>
          <w:rFonts w:ascii="Calibri" w:hAnsi="Calibri" w:cs="Calibri"/>
          <w:szCs w:val="22"/>
        </w:rPr>
      </w:pPr>
    </w:p>
    <w:p w:rsidRPr="00EA1444" w:rsidR="00F058AB" w:rsidP="000D4A95" w:rsidRDefault="00876E53" w14:paraId="42FD4E3B" w14:textId="363C23FE">
      <w:pPr>
        <w:pStyle w:val="BodyText"/>
        <w:numPr>
          <w:ilvl w:val="0"/>
          <w:numId w:val="14"/>
        </w:numPr>
        <w:rPr>
          <w:rFonts w:ascii="Calibri" w:hAnsi="Calibri" w:cs="Calibri"/>
          <w:szCs w:val="22"/>
        </w:rPr>
      </w:pPr>
      <w:r w:rsidRPr="0075214A">
        <w:rPr>
          <w:rFonts w:ascii="Calibri" w:hAnsi="Calibri" w:cs="Calibri"/>
          <w:b/>
          <w:szCs w:val="22"/>
        </w:rPr>
        <w:t>Workshops/Demos</w:t>
      </w:r>
      <w:r w:rsidR="00B239A4">
        <w:rPr>
          <w:rFonts w:ascii="Calibri" w:hAnsi="Calibri" w:cs="Calibri"/>
          <w:b/>
          <w:szCs w:val="22"/>
        </w:rPr>
        <w:t xml:space="preserve"> – Computer Labs</w:t>
      </w:r>
      <w:r>
        <w:rPr>
          <w:rFonts w:ascii="Calibri" w:hAnsi="Calibri" w:cs="Calibri"/>
          <w:szCs w:val="22"/>
        </w:rPr>
        <w:t xml:space="preserve">: </w:t>
      </w:r>
      <w:r w:rsidRPr="001208C4" w:rsidR="00EE112F">
        <w:rPr>
          <w:rFonts w:ascii="Calibri" w:hAnsi="Calibri" w:cs="Calibri"/>
          <w:b/>
          <w:bCs/>
          <w:szCs w:val="22"/>
        </w:rPr>
        <w:t>(Preferred but not Required)</w:t>
      </w:r>
      <w:r w:rsidR="00EE112F">
        <w:rPr>
          <w:rFonts w:ascii="Calibri" w:hAnsi="Calibri" w:cs="Calibri"/>
          <w:szCs w:val="22"/>
        </w:rPr>
        <w:t xml:space="preserve"> </w:t>
      </w:r>
      <w:r w:rsidRPr="00EA1444" w:rsidR="00F058AB">
        <w:rPr>
          <w:rFonts w:ascii="Calibri" w:hAnsi="Calibri" w:cs="Calibri"/>
          <w:szCs w:val="22"/>
        </w:rPr>
        <w:t>for pre-conference workshops on Tuesday</w:t>
      </w:r>
      <w:r w:rsidR="004D01C4">
        <w:rPr>
          <w:rFonts w:ascii="Calibri" w:hAnsi="Calibri" w:cs="Calibri"/>
          <w:szCs w:val="22"/>
        </w:rPr>
        <w:t xml:space="preserve"> (</w:t>
      </w:r>
      <w:r w:rsidR="00EF7A87">
        <w:rPr>
          <w:rFonts w:ascii="Calibri" w:hAnsi="Calibri" w:cs="Calibri"/>
          <w:szCs w:val="22"/>
        </w:rPr>
        <w:t>3-4</w:t>
      </w:r>
      <w:r w:rsidR="004D01C4">
        <w:rPr>
          <w:rFonts w:ascii="Calibri" w:hAnsi="Calibri" w:cs="Calibri"/>
          <w:szCs w:val="22"/>
        </w:rPr>
        <w:t xml:space="preserve"> labs); </w:t>
      </w:r>
      <w:r w:rsidRPr="00EA1444" w:rsidR="00F058AB">
        <w:rPr>
          <w:rFonts w:ascii="Calibri" w:hAnsi="Calibri" w:cs="Calibri"/>
          <w:szCs w:val="22"/>
        </w:rPr>
        <w:t>Hands-on demos</w:t>
      </w:r>
      <w:r w:rsidR="00172FDB">
        <w:rPr>
          <w:rFonts w:ascii="Calibri" w:hAnsi="Calibri" w:cs="Calibri"/>
          <w:szCs w:val="22"/>
        </w:rPr>
        <w:t xml:space="preserve"> – held during concurrent sessions each day (1 lab).</w:t>
      </w:r>
    </w:p>
    <w:p w:rsidRPr="00EA1444" w:rsidR="000D4A95" w:rsidP="000D4A95" w:rsidRDefault="000D4A95" w14:paraId="0AAEFC43" w14:textId="77777777">
      <w:pPr>
        <w:pStyle w:val="BodyText"/>
        <w:rPr>
          <w:rFonts w:ascii="Calibri" w:hAnsi="Calibri" w:cs="Calibri"/>
          <w:szCs w:val="22"/>
        </w:rPr>
      </w:pPr>
    </w:p>
    <w:p w:rsidRPr="00EA1444" w:rsidR="000D4A95" w:rsidP="000D4A95" w:rsidRDefault="0075214A" w14:paraId="76104D1C" w14:textId="0175FB63">
      <w:pPr>
        <w:pStyle w:val="BodyText"/>
        <w:numPr>
          <w:ilvl w:val="0"/>
          <w:numId w:val="14"/>
        </w:numPr>
        <w:rPr>
          <w:rFonts w:ascii="Calibri" w:hAnsi="Calibri" w:cs="Calibri"/>
          <w:szCs w:val="22"/>
        </w:rPr>
      </w:pPr>
      <w:r w:rsidRPr="0075214A">
        <w:rPr>
          <w:rFonts w:ascii="Calibri" w:hAnsi="Calibri" w:cs="Calibri"/>
          <w:b/>
          <w:szCs w:val="22"/>
        </w:rPr>
        <w:t>Hall / T</w:t>
      </w:r>
      <w:r w:rsidRPr="0075214A" w:rsidR="000D4A95">
        <w:rPr>
          <w:rFonts w:ascii="Calibri" w:hAnsi="Calibri" w:cs="Calibri"/>
          <w:b/>
          <w:szCs w:val="22"/>
        </w:rPr>
        <w:t>heater</w:t>
      </w:r>
      <w:r w:rsidRPr="0075214A">
        <w:rPr>
          <w:rFonts w:ascii="Calibri" w:hAnsi="Calibri" w:cs="Calibri"/>
          <w:b/>
          <w:szCs w:val="22"/>
        </w:rPr>
        <w:t xml:space="preserve"> </w:t>
      </w:r>
      <w:r w:rsidRPr="0075214A" w:rsidR="000D4A95">
        <w:rPr>
          <w:rFonts w:ascii="Calibri" w:hAnsi="Calibri" w:cs="Calibri"/>
          <w:b/>
          <w:szCs w:val="22"/>
        </w:rPr>
        <w:t>/</w:t>
      </w:r>
      <w:r w:rsidRPr="0075214A">
        <w:rPr>
          <w:rFonts w:ascii="Calibri" w:hAnsi="Calibri" w:cs="Calibri"/>
          <w:b/>
          <w:szCs w:val="22"/>
        </w:rPr>
        <w:t xml:space="preserve"> A</w:t>
      </w:r>
      <w:r w:rsidRPr="0075214A" w:rsidR="000D4A95">
        <w:rPr>
          <w:rFonts w:ascii="Calibri" w:hAnsi="Calibri" w:cs="Calibri"/>
          <w:b/>
          <w:szCs w:val="22"/>
        </w:rPr>
        <w:t>uditorium</w:t>
      </w:r>
      <w:r>
        <w:rPr>
          <w:rFonts w:ascii="Calibri" w:hAnsi="Calibri" w:cs="Calibri"/>
          <w:b/>
          <w:szCs w:val="22"/>
        </w:rPr>
        <w:t>:</w:t>
      </w:r>
      <w:r w:rsidRPr="00EA1444" w:rsidR="000D4A95">
        <w:rPr>
          <w:rFonts w:ascii="Calibri" w:hAnsi="Calibri" w:cs="Calibri"/>
          <w:szCs w:val="22"/>
        </w:rPr>
        <w:t xml:space="preserve"> </w:t>
      </w:r>
      <w:r>
        <w:rPr>
          <w:rFonts w:ascii="Calibri" w:hAnsi="Calibri" w:cs="Calibri"/>
          <w:szCs w:val="22"/>
        </w:rPr>
        <w:t xml:space="preserve">  </w:t>
      </w:r>
      <w:r w:rsidR="0003088A">
        <w:rPr>
          <w:rFonts w:ascii="Calibri" w:hAnsi="Calibri" w:cs="Calibri"/>
          <w:szCs w:val="22"/>
        </w:rPr>
        <w:t>This should have a</w:t>
      </w:r>
      <w:r w:rsidR="00172FDB">
        <w:rPr>
          <w:rFonts w:ascii="Calibri" w:hAnsi="Calibri" w:cs="Calibri"/>
          <w:szCs w:val="22"/>
        </w:rPr>
        <w:t xml:space="preserve"> </w:t>
      </w:r>
      <w:r w:rsidRPr="00EA1444" w:rsidR="000D4A95">
        <w:rPr>
          <w:rFonts w:ascii="Calibri" w:hAnsi="Calibri" w:cs="Calibri"/>
          <w:szCs w:val="22"/>
        </w:rPr>
        <w:t>capacity of 3</w:t>
      </w:r>
      <w:r w:rsidR="00871CA8">
        <w:rPr>
          <w:rFonts w:ascii="Calibri" w:hAnsi="Calibri" w:cs="Calibri"/>
          <w:szCs w:val="22"/>
        </w:rPr>
        <w:t>00</w:t>
      </w:r>
      <w:r w:rsidRPr="00EA1444" w:rsidR="000D4A95">
        <w:rPr>
          <w:rFonts w:ascii="Calibri" w:hAnsi="Calibri" w:cs="Calibri"/>
          <w:szCs w:val="22"/>
        </w:rPr>
        <w:t>.  This facility would require excellent projecti</w:t>
      </w:r>
      <w:r w:rsidR="003961E6">
        <w:rPr>
          <w:rFonts w:ascii="Calibri" w:hAnsi="Calibri" w:cs="Calibri"/>
          <w:szCs w:val="22"/>
        </w:rPr>
        <w:t>on, A/V support, Internet, and ability to stream/record or connect for live broadcast with Chancellor</w:t>
      </w:r>
      <w:r w:rsidRPr="00EA1444" w:rsidR="000D4A95">
        <w:rPr>
          <w:rFonts w:ascii="Calibri" w:hAnsi="Calibri" w:cs="Calibri"/>
          <w:szCs w:val="22"/>
        </w:rPr>
        <w:t>.</w:t>
      </w:r>
    </w:p>
    <w:p w:rsidRPr="00EA1444" w:rsidR="000D4A95" w:rsidP="000D4A95" w:rsidRDefault="000D4A95" w14:paraId="6A6B22E8" w14:textId="77777777">
      <w:pPr>
        <w:pStyle w:val="BodyText"/>
        <w:rPr>
          <w:rFonts w:ascii="Calibri" w:hAnsi="Calibri" w:cs="Calibri"/>
          <w:szCs w:val="22"/>
        </w:rPr>
      </w:pPr>
    </w:p>
    <w:p w:rsidR="000D4A95" w:rsidP="000D4A95" w:rsidRDefault="0003088A" w14:paraId="2B270250" w14:textId="4A166D81">
      <w:pPr>
        <w:pStyle w:val="BodyText"/>
        <w:numPr>
          <w:ilvl w:val="0"/>
          <w:numId w:val="14"/>
        </w:numPr>
        <w:rPr>
          <w:rFonts w:ascii="Calibri" w:hAnsi="Calibri" w:cs="Calibri"/>
          <w:szCs w:val="22"/>
        </w:rPr>
      </w:pPr>
      <w:r>
        <w:rPr>
          <w:rFonts w:ascii="Calibri" w:hAnsi="Calibri" w:cs="Calibri"/>
          <w:b/>
          <w:szCs w:val="22"/>
        </w:rPr>
        <w:t xml:space="preserve">Vendor Area:  </w:t>
      </w:r>
      <w:r w:rsidRPr="00EA1444" w:rsidR="000D4A95">
        <w:rPr>
          <w:rFonts w:ascii="Calibri" w:hAnsi="Calibri" w:cs="Calibri"/>
          <w:szCs w:val="22"/>
        </w:rPr>
        <w:t xml:space="preserve">Large area to accommodate a minimum of </w:t>
      </w:r>
      <w:r w:rsidR="00172FDB">
        <w:rPr>
          <w:rFonts w:ascii="Calibri" w:hAnsi="Calibri" w:cs="Calibri"/>
          <w:szCs w:val="22"/>
        </w:rPr>
        <w:t>25</w:t>
      </w:r>
      <w:r w:rsidRPr="00EA1444" w:rsidR="000D4A95">
        <w:rPr>
          <w:rFonts w:ascii="Calibri" w:hAnsi="Calibri" w:cs="Calibri"/>
          <w:szCs w:val="22"/>
        </w:rPr>
        <w:t xml:space="preserve"> vendor exhibit booths (</w:t>
      </w:r>
      <w:r w:rsidRPr="00EA1444" w:rsidR="00F058AB">
        <w:rPr>
          <w:rFonts w:ascii="Calibri" w:hAnsi="Calibri" w:cs="Calibri"/>
          <w:szCs w:val="22"/>
        </w:rPr>
        <w:t xml:space="preserve">booths measure </w:t>
      </w:r>
      <w:r w:rsidR="0096751C">
        <w:rPr>
          <w:rFonts w:ascii="Calibri" w:hAnsi="Calibri" w:cs="Calibri"/>
          <w:szCs w:val="22"/>
        </w:rPr>
        <w:t>8’ deep x 10’ wide) plus catering set-ups.</w:t>
      </w:r>
    </w:p>
    <w:p w:rsidR="00224471" w:rsidRDefault="00224471" w14:paraId="248C1A0C" w14:textId="21990424">
      <w:pPr>
        <w:rPr>
          <w:rFonts w:ascii="Calibri" w:hAnsi="Calibri" w:cs="Calibri"/>
          <w:b/>
          <w:sz w:val="22"/>
          <w:szCs w:val="22"/>
        </w:rPr>
      </w:pPr>
    </w:p>
    <w:p w:rsidRPr="006B01FB" w:rsidR="006B01FB" w:rsidP="0003088A" w:rsidRDefault="006B01FB" w14:paraId="4C258158" w14:textId="64AB8EA4">
      <w:pPr>
        <w:pStyle w:val="BodyText"/>
        <w:numPr>
          <w:ilvl w:val="0"/>
          <w:numId w:val="14"/>
        </w:numPr>
        <w:rPr>
          <w:rFonts w:ascii="Calibri" w:hAnsi="Calibri" w:cs="Calibri"/>
          <w:szCs w:val="22"/>
        </w:rPr>
      </w:pPr>
      <w:r>
        <w:rPr>
          <w:rFonts w:ascii="Calibri" w:hAnsi="Calibri" w:cs="Calibri"/>
          <w:b/>
          <w:szCs w:val="22"/>
        </w:rPr>
        <w:t>Staffing Resources:</w:t>
      </w:r>
    </w:p>
    <w:p w:rsidR="006B01FB" w:rsidP="006B01FB" w:rsidRDefault="006B01FB" w14:paraId="55DFE7C8" w14:textId="77777777">
      <w:pPr>
        <w:pStyle w:val="ListParagraph"/>
        <w:rPr>
          <w:rFonts w:ascii="Calibri" w:hAnsi="Calibri" w:cs="Calibri"/>
          <w:b/>
          <w:szCs w:val="22"/>
        </w:rPr>
      </w:pPr>
    </w:p>
    <w:p w:rsidR="0003088A" w:rsidP="006B01FB" w:rsidRDefault="006B01FB" w14:paraId="09CBC332" w14:textId="5973CD78">
      <w:pPr>
        <w:pStyle w:val="BodyText"/>
        <w:numPr>
          <w:ilvl w:val="0"/>
          <w:numId w:val="18"/>
        </w:numPr>
        <w:rPr>
          <w:rFonts w:ascii="Calibri" w:hAnsi="Calibri" w:cs="Calibri"/>
          <w:szCs w:val="22"/>
        </w:rPr>
      </w:pPr>
      <w:r>
        <w:rPr>
          <w:rFonts w:ascii="Calibri" w:hAnsi="Calibri" w:cs="Calibri"/>
          <w:b/>
          <w:szCs w:val="22"/>
        </w:rPr>
        <w:t>H</w:t>
      </w:r>
      <w:r w:rsidR="0003088A">
        <w:rPr>
          <w:rFonts w:ascii="Calibri" w:hAnsi="Calibri" w:cs="Calibri"/>
          <w:b/>
          <w:szCs w:val="22"/>
        </w:rPr>
        <w:t xml:space="preserve">ost Campus Liaison:  </w:t>
      </w:r>
      <w:r w:rsidRPr="008138FA" w:rsidR="0003088A">
        <w:rPr>
          <w:rFonts w:ascii="Calibri" w:hAnsi="Calibri" w:cs="Calibri"/>
          <w:szCs w:val="22"/>
        </w:rPr>
        <w:t>This individual</w:t>
      </w:r>
      <w:r w:rsidR="004D01C4">
        <w:rPr>
          <w:rFonts w:ascii="Calibri" w:hAnsi="Calibri" w:cs="Calibri"/>
          <w:szCs w:val="22"/>
        </w:rPr>
        <w:t>(s)</w:t>
      </w:r>
      <w:r w:rsidRPr="008138FA" w:rsidR="0003088A">
        <w:rPr>
          <w:rFonts w:ascii="Calibri" w:hAnsi="Calibri" w:cs="Calibri"/>
          <w:szCs w:val="22"/>
        </w:rPr>
        <w:t xml:space="preserve"> will be the primary interface between the CIT Conference Director and host campus departments, such as housing, catering, parking, physical plant, security, and others as needed.  They would be responsible for reserving facilities for the conference and the CIT Planning Committee meeting held at the host campus</w:t>
      </w:r>
      <w:r w:rsidR="0003088A">
        <w:rPr>
          <w:rFonts w:ascii="Calibri" w:hAnsi="Calibri" w:cs="Calibri"/>
          <w:szCs w:val="22"/>
        </w:rPr>
        <w:t xml:space="preserve">.  Individual(s) would be responsible for assembling/coordinating </w:t>
      </w:r>
      <w:r w:rsidRPr="008138FA" w:rsidR="0003088A">
        <w:rPr>
          <w:rFonts w:ascii="Calibri" w:hAnsi="Calibri" w:cs="Calibri"/>
          <w:szCs w:val="22"/>
        </w:rPr>
        <w:t>an internal planni</w:t>
      </w:r>
      <w:r w:rsidR="0003088A">
        <w:rPr>
          <w:rFonts w:ascii="Calibri" w:hAnsi="Calibri" w:cs="Calibri"/>
          <w:szCs w:val="22"/>
        </w:rPr>
        <w:t>ng committee that includes key individuals from the various host campus departments</w:t>
      </w:r>
      <w:r>
        <w:rPr>
          <w:rFonts w:ascii="Calibri" w:hAnsi="Calibri" w:cs="Calibri"/>
          <w:szCs w:val="22"/>
        </w:rPr>
        <w:t>.</w:t>
      </w:r>
    </w:p>
    <w:p w:rsidR="0003088A" w:rsidP="0003088A" w:rsidRDefault="0003088A" w14:paraId="690BF8FA" w14:textId="77777777">
      <w:pPr>
        <w:pStyle w:val="ListParagraph"/>
        <w:rPr>
          <w:rFonts w:ascii="Calibri" w:hAnsi="Calibri" w:cs="Calibri"/>
          <w:szCs w:val="22"/>
        </w:rPr>
      </w:pPr>
    </w:p>
    <w:p w:rsidRPr="0003088A" w:rsidR="0003088A" w:rsidP="006B01FB" w:rsidRDefault="006B01FB" w14:paraId="0B5B8848" w14:textId="77777777">
      <w:pPr>
        <w:pStyle w:val="ListParagraph"/>
        <w:numPr>
          <w:ilvl w:val="0"/>
          <w:numId w:val="19"/>
        </w:numPr>
        <w:rPr>
          <w:rFonts w:ascii="Calibri" w:hAnsi="Calibri" w:cs="Calibri"/>
          <w:sz w:val="22"/>
          <w:szCs w:val="22"/>
        </w:rPr>
      </w:pPr>
      <w:r>
        <w:rPr>
          <w:rFonts w:ascii="Calibri" w:hAnsi="Calibri" w:cs="Calibri"/>
          <w:b/>
          <w:sz w:val="22"/>
          <w:szCs w:val="22"/>
        </w:rPr>
        <w:lastRenderedPageBreak/>
        <w:t xml:space="preserve">Technical Liaison:  </w:t>
      </w:r>
      <w:r>
        <w:rPr>
          <w:rFonts w:ascii="Calibri" w:hAnsi="Calibri" w:cs="Calibri"/>
          <w:sz w:val="22"/>
          <w:szCs w:val="22"/>
        </w:rPr>
        <w:t>I</w:t>
      </w:r>
      <w:r w:rsidRPr="0003088A" w:rsidR="0003088A">
        <w:rPr>
          <w:rFonts w:ascii="Calibri" w:hAnsi="Calibri" w:cs="Calibri"/>
          <w:sz w:val="22"/>
          <w:szCs w:val="22"/>
        </w:rPr>
        <w:t>ndividual(s) to serve as the Technical Liaison and to serve on the CIT Planning Committee.  This individual(s) would be the primary interface between the Conference Director and campus departments providing technical services for the conference such as Academic Computing, A/V Services, Networking Services, and Telecommunications.  Individual would work with the Conference Director to</w:t>
      </w:r>
      <w:r w:rsidR="004D01C4">
        <w:rPr>
          <w:rFonts w:ascii="Calibri" w:hAnsi="Calibri" w:cs="Calibri"/>
          <w:sz w:val="22"/>
          <w:szCs w:val="22"/>
        </w:rPr>
        <w:t xml:space="preserve"> determine rooms and labs </w:t>
      </w:r>
      <w:r w:rsidRPr="0003088A" w:rsidR="0003088A">
        <w:rPr>
          <w:rFonts w:ascii="Calibri" w:hAnsi="Calibri" w:cs="Calibri"/>
          <w:sz w:val="22"/>
          <w:szCs w:val="22"/>
        </w:rPr>
        <w:t>used for conference sessions based on the technical needs of each presentation and the technology available in each room/lab.</w:t>
      </w:r>
    </w:p>
    <w:p w:rsidRPr="00EA1444" w:rsidR="0003088A" w:rsidP="006B01FB" w:rsidRDefault="0003088A" w14:paraId="5187F67D" w14:textId="77777777">
      <w:pPr>
        <w:tabs>
          <w:tab w:val="left" w:pos="4575"/>
        </w:tabs>
        <w:ind w:left="1440" w:firstLine="3135"/>
        <w:rPr>
          <w:rFonts w:ascii="Calibri" w:hAnsi="Calibri" w:cs="Calibri"/>
          <w:sz w:val="22"/>
          <w:szCs w:val="22"/>
        </w:rPr>
      </w:pPr>
    </w:p>
    <w:p w:rsidRPr="0003088A" w:rsidR="0003088A" w:rsidP="006B01FB" w:rsidRDefault="006B01FB" w14:paraId="68080C6C" w14:textId="598E5E72">
      <w:pPr>
        <w:pStyle w:val="ListParagraph"/>
        <w:numPr>
          <w:ilvl w:val="0"/>
          <w:numId w:val="19"/>
        </w:numPr>
        <w:rPr>
          <w:rFonts w:ascii="Calibri" w:hAnsi="Calibri" w:cs="Calibri"/>
          <w:sz w:val="22"/>
          <w:szCs w:val="22"/>
        </w:rPr>
      </w:pPr>
      <w:r>
        <w:rPr>
          <w:rFonts w:ascii="Calibri" w:hAnsi="Calibri" w:cs="Calibri"/>
          <w:b/>
          <w:sz w:val="22"/>
          <w:szCs w:val="22"/>
        </w:rPr>
        <w:t xml:space="preserve">Faculty/Staff:  </w:t>
      </w:r>
      <w:r w:rsidRPr="0003088A" w:rsidR="0003088A">
        <w:rPr>
          <w:rFonts w:ascii="Calibri" w:hAnsi="Calibri" w:cs="Calibri"/>
          <w:sz w:val="22"/>
          <w:szCs w:val="22"/>
        </w:rPr>
        <w:t xml:space="preserve">Provide additional faculty/staff to </w:t>
      </w:r>
      <w:r w:rsidR="00EF7A87">
        <w:rPr>
          <w:rFonts w:ascii="Calibri" w:hAnsi="Calibri" w:cs="Calibri"/>
          <w:sz w:val="22"/>
          <w:szCs w:val="22"/>
        </w:rPr>
        <w:t>assist with the planning process and during the conference.</w:t>
      </w:r>
    </w:p>
    <w:p w:rsidR="0003088A" w:rsidP="0003088A" w:rsidRDefault="0003088A" w14:paraId="17D18479" w14:textId="77777777">
      <w:pPr>
        <w:pStyle w:val="ListParagraph"/>
        <w:ind w:left="2160"/>
        <w:rPr>
          <w:rFonts w:ascii="Calibri" w:hAnsi="Calibri" w:cs="Calibri"/>
          <w:sz w:val="22"/>
          <w:szCs w:val="22"/>
        </w:rPr>
      </w:pPr>
    </w:p>
    <w:p w:rsidR="0003088A" w:rsidP="006B01FB" w:rsidRDefault="006B01FB" w14:paraId="5BD3C563" w14:textId="77777777">
      <w:pPr>
        <w:pStyle w:val="ListParagraph"/>
        <w:numPr>
          <w:ilvl w:val="0"/>
          <w:numId w:val="19"/>
        </w:numPr>
        <w:rPr>
          <w:rFonts w:ascii="Calibri" w:hAnsi="Calibri" w:cs="Calibri"/>
          <w:sz w:val="22"/>
          <w:szCs w:val="22"/>
        </w:rPr>
      </w:pPr>
      <w:r>
        <w:rPr>
          <w:rFonts w:ascii="Calibri" w:hAnsi="Calibri" w:cs="Calibri"/>
          <w:b/>
          <w:sz w:val="22"/>
          <w:szCs w:val="22"/>
        </w:rPr>
        <w:t xml:space="preserve">Staff/Student Support:  </w:t>
      </w:r>
      <w:r w:rsidRPr="0003088A" w:rsidR="0003088A">
        <w:rPr>
          <w:rFonts w:ascii="Calibri" w:hAnsi="Calibri" w:cs="Calibri"/>
          <w:sz w:val="22"/>
          <w:szCs w:val="22"/>
        </w:rPr>
        <w:t>Provide staff</w:t>
      </w:r>
      <w:r w:rsidR="004D01C4">
        <w:rPr>
          <w:rFonts w:ascii="Calibri" w:hAnsi="Calibri" w:cs="Calibri"/>
          <w:sz w:val="22"/>
          <w:szCs w:val="22"/>
        </w:rPr>
        <w:t xml:space="preserve"> and/or </w:t>
      </w:r>
      <w:r w:rsidRPr="0003088A" w:rsidR="0003088A">
        <w:rPr>
          <w:rFonts w:ascii="Calibri" w:hAnsi="Calibri" w:cs="Calibri"/>
          <w:sz w:val="22"/>
          <w:szCs w:val="22"/>
        </w:rPr>
        <w:t>student</w:t>
      </w:r>
      <w:r w:rsidR="004D01C4">
        <w:rPr>
          <w:rFonts w:ascii="Calibri" w:hAnsi="Calibri" w:cs="Calibri"/>
          <w:sz w:val="22"/>
          <w:szCs w:val="22"/>
        </w:rPr>
        <w:t xml:space="preserve"> support</w:t>
      </w:r>
      <w:r w:rsidRPr="0003088A" w:rsidR="0003088A">
        <w:rPr>
          <w:rFonts w:ascii="Calibri" w:hAnsi="Calibri" w:cs="Calibri"/>
          <w:sz w:val="22"/>
          <w:szCs w:val="22"/>
        </w:rPr>
        <w:t xml:space="preserve"> the we</w:t>
      </w:r>
      <w:r w:rsidR="004D01C4">
        <w:rPr>
          <w:rFonts w:ascii="Calibri" w:hAnsi="Calibri" w:cs="Calibri"/>
          <w:sz w:val="22"/>
          <w:szCs w:val="22"/>
        </w:rPr>
        <w:t>ek of the conference to assist with the various activities of the conference (check-in, technical support, directional assistance, housing check-in, etc.)</w:t>
      </w:r>
      <w:r w:rsidRPr="0003088A" w:rsidR="0003088A">
        <w:rPr>
          <w:rFonts w:ascii="Calibri" w:hAnsi="Calibri" w:cs="Calibri"/>
          <w:sz w:val="22"/>
          <w:szCs w:val="22"/>
        </w:rPr>
        <w:tab/>
      </w:r>
    </w:p>
    <w:p w:rsidRPr="00E34CDF" w:rsidR="00E34CDF" w:rsidP="00E34CDF" w:rsidRDefault="00E34CDF" w14:paraId="66483FFA" w14:textId="77777777">
      <w:pPr>
        <w:pStyle w:val="ListParagraph"/>
        <w:rPr>
          <w:rFonts w:ascii="Calibri" w:hAnsi="Calibri" w:cs="Calibri"/>
          <w:sz w:val="22"/>
          <w:szCs w:val="22"/>
        </w:rPr>
      </w:pPr>
    </w:p>
    <w:p w:rsidRPr="0003088A" w:rsidR="00E34CDF" w:rsidP="006B01FB" w:rsidRDefault="00E34CDF" w14:paraId="7CCB51ED" w14:textId="77777777">
      <w:pPr>
        <w:pStyle w:val="ListParagraph"/>
        <w:numPr>
          <w:ilvl w:val="0"/>
          <w:numId w:val="19"/>
        </w:numPr>
        <w:rPr>
          <w:rFonts w:ascii="Calibri" w:hAnsi="Calibri" w:cs="Calibri"/>
          <w:sz w:val="22"/>
          <w:szCs w:val="22"/>
        </w:rPr>
      </w:pPr>
      <w:r>
        <w:rPr>
          <w:rFonts w:ascii="Calibri" w:hAnsi="Calibri" w:cs="Calibri"/>
          <w:b/>
          <w:sz w:val="22"/>
          <w:szCs w:val="22"/>
        </w:rPr>
        <w:t xml:space="preserve">Financials: </w:t>
      </w:r>
      <w:r>
        <w:rPr>
          <w:rFonts w:ascii="Calibri" w:hAnsi="Calibri" w:cs="Calibri"/>
          <w:sz w:val="22"/>
          <w:szCs w:val="22"/>
        </w:rPr>
        <w:t xml:space="preserve"> </w:t>
      </w:r>
      <w:r w:rsidR="004511E2">
        <w:rPr>
          <w:rFonts w:ascii="Calibri" w:hAnsi="Calibri" w:cs="Calibri"/>
          <w:sz w:val="22"/>
          <w:szCs w:val="22"/>
        </w:rPr>
        <w:t>The host campus will receive $10,000 to offset costs incurred that include student conference assistants, technical support</w:t>
      </w:r>
      <w:r>
        <w:rPr>
          <w:rFonts w:ascii="Calibri" w:hAnsi="Calibri" w:cs="Calibri"/>
          <w:sz w:val="22"/>
          <w:szCs w:val="22"/>
        </w:rPr>
        <w:t xml:space="preserve"> in preparation of and during the conference; directional signs on campus (outside and inside), including session room signs.  At the conclusion of the conference, documentation of campus costs paid from the Host campus funding, must be provided to the SUNY CPD.</w:t>
      </w:r>
    </w:p>
    <w:p w:rsidR="0003088A" w:rsidP="0003088A" w:rsidRDefault="0003088A" w14:paraId="1F12F7D2" w14:textId="77777777">
      <w:pPr>
        <w:pStyle w:val="ListParagraph"/>
        <w:rPr>
          <w:rFonts w:ascii="Calibri" w:hAnsi="Calibri" w:cs="Calibri"/>
          <w:szCs w:val="22"/>
        </w:rPr>
      </w:pPr>
    </w:p>
    <w:p w:rsidRPr="00EA1444" w:rsidR="000D4A95" w:rsidP="000D4A95" w:rsidRDefault="000D4A95" w14:paraId="35B9FD8B" w14:textId="77777777">
      <w:pPr>
        <w:pStyle w:val="BodyText"/>
        <w:rPr>
          <w:rFonts w:ascii="Calibri" w:hAnsi="Calibri" w:cs="Calibri"/>
          <w:szCs w:val="22"/>
        </w:rPr>
      </w:pPr>
    </w:p>
    <w:sectPr w:rsidRPr="00EA1444" w:rsidR="000D4A95" w:rsidSect="00AF3F4A">
      <w:footerReference w:type="default" r:id="rId7"/>
      <w:pgSz w:w="12240" w:h="15840" w:orient="portrait"/>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F5A" w:rsidRDefault="007E5F5A" w14:paraId="76D31153" w14:textId="77777777">
      <w:r>
        <w:separator/>
      </w:r>
    </w:p>
  </w:endnote>
  <w:endnote w:type="continuationSeparator" w:id="0">
    <w:p w:rsidR="007E5F5A" w:rsidRDefault="007E5F5A" w14:paraId="076307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540D4" w:rsidR="0003088A" w:rsidRDefault="0003088A" w14:paraId="07F80A47" w14:textId="77777777">
    <w:pPr>
      <w:pStyle w:val="Footer"/>
      <w:tabs>
        <w:tab w:val="clear" w:pos="8640"/>
        <w:tab w:val="right" w:pos="9720"/>
      </w:tabs>
      <w:rPr>
        <w:sz w:val="24"/>
      </w:rPr>
    </w:pPr>
    <w:r w:rsidRPr="005540D4">
      <w:rPr>
        <w:sz w:val="16"/>
      </w:rPr>
      <w:t xml:space="preserve">CIT Host Campus Information                                                                                                         Page </w:t>
    </w:r>
    <w:r w:rsidRPr="005540D4" w:rsidR="003B247F">
      <w:rPr>
        <w:rStyle w:val="PageNumber"/>
      </w:rPr>
      <w:fldChar w:fldCharType="begin"/>
    </w:r>
    <w:r w:rsidRPr="005540D4">
      <w:rPr>
        <w:rStyle w:val="PageNumber"/>
      </w:rPr>
      <w:instrText xml:space="preserve"> PAGE </w:instrText>
    </w:r>
    <w:r w:rsidRPr="005540D4" w:rsidR="003B247F">
      <w:rPr>
        <w:rStyle w:val="PageNumber"/>
      </w:rPr>
      <w:fldChar w:fldCharType="separate"/>
    </w:r>
    <w:r w:rsidR="004511E2">
      <w:rPr>
        <w:rStyle w:val="PageNumber"/>
        <w:noProof/>
      </w:rPr>
      <w:t>2</w:t>
    </w:r>
    <w:r w:rsidRPr="005540D4" w:rsidR="003B24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F5A" w:rsidRDefault="007E5F5A" w14:paraId="4572669A" w14:textId="77777777">
      <w:r>
        <w:separator/>
      </w:r>
    </w:p>
  </w:footnote>
  <w:footnote w:type="continuationSeparator" w:id="0">
    <w:p w:rsidR="007E5F5A" w:rsidRDefault="007E5F5A" w14:paraId="60E8325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94C"/>
    <w:multiLevelType w:val="singleLevel"/>
    <w:tmpl w:val="AD6EE4A2"/>
    <w:lvl w:ilvl="0">
      <w:start w:val="2"/>
      <w:numFmt w:val="lowerLetter"/>
      <w:lvlText w:val="%1."/>
      <w:lvlJc w:val="left"/>
      <w:pPr>
        <w:tabs>
          <w:tab w:val="num" w:pos="720"/>
        </w:tabs>
        <w:ind w:left="720" w:hanging="720"/>
      </w:pPr>
      <w:rPr>
        <w:rFonts w:hint="default"/>
      </w:rPr>
    </w:lvl>
  </w:abstractNum>
  <w:abstractNum w:abstractNumId="1" w15:restartNumberingAfterBreak="0">
    <w:nsid w:val="141100D9"/>
    <w:multiLevelType w:val="hybridMultilevel"/>
    <w:tmpl w:val="77EAE8F4"/>
    <w:lvl w:ilvl="0" w:tplc="04090003">
      <w:start w:val="1"/>
      <w:numFmt w:val="bullet"/>
      <w:lvlText w:val="o"/>
      <w:lvlJc w:val="left"/>
      <w:pPr>
        <w:tabs>
          <w:tab w:val="num" w:pos="1800"/>
        </w:tabs>
        <w:ind w:left="1800" w:hanging="360"/>
      </w:pPr>
      <w:rPr>
        <w:rFonts w:hint="default" w:ascii="Courier New" w:hAnsi="Courier New" w:cs="Courier New"/>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 w15:restartNumberingAfterBreak="0">
    <w:nsid w:val="1AEC0136"/>
    <w:multiLevelType w:val="hybridMultilevel"/>
    <w:tmpl w:val="2EB2B1F0"/>
    <w:lvl w:ilvl="0" w:tplc="DA8E130C">
      <w:start w:val="1"/>
      <w:numFmt w:val="bullet"/>
      <w:lvlText w:val=""/>
      <w:lvlJc w:val="left"/>
      <w:pPr>
        <w:tabs>
          <w:tab w:val="num" w:pos="360"/>
        </w:tabs>
        <w:ind w:left="360" w:hanging="360"/>
      </w:pPr>
      <w:rPr>
        <w:rFonts w:hint="default" w:ascii="Symbol" w:hAnsi="Symbol"/>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8840EA6"/>
    <w:multiLevelType w:val="singleLevel"/>
    <w:tmpl w:val="5EEC07C6"/>
    <w:lvl w:ilvl="0">
      <w:start w:val="1"/>
      <w:numFmt w:val="bullet"/>
      <w:lvlText w:val=""/>
      <w:lvlJc w:val="left"/>
      <w:pPr>
        <w:tabs>
          <w:tab w:val="num" w:pos="1125"/>
        </w:tabs>
        <w:ind w:left="1125" w:hanging="405"/>
      </w:pPr>
      <w:rPr>
        <w:rFonts w:hint="default" w:ascii="Wingdings" w:hAnsi="Wingdings"/>
      </w:rPr>
    </w:lvl>
  </w:abstractNum>
  <w:abstractNum w:abstractNumId="4" w15:restartNumberingAfterBreak="0">
    <w:nsid w:val="36797ADE"/>
    <w:multiLevelType w:val="hybridMultilevel"/>
    <w:tmpl w:val="40B243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230A22"/>
    <w:multiLevelType w:val="multilevel"/>
    <w:tmpl w:val="3604A9F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3E1402C"/>
    <w:multiLevelType w:val="hybridMultilevel"/>
    <w:tmpl w:val="4956F89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51F01983"/>
    <w:multiLevelType w:val="singleLevel"/>
    <w:tmpl w:val="0409000F"/>
    <w:lvl w:ilvl="0">
      <w:start w:val="5"/>
      <w:numFmt w:val="decimal"/>
      <w:lvlText w:val="%1."/>
      <w:lvlJc w:val="left"/>
      <w:pPr>
        <w:tabs>
          <w:tab w:val="num" w:pos="360"/>
        </w:tabs>
        <w:ind w:left="360" w:hanging="360"/>
      </w:pPr>
      <w:rPr>
        <w:rFonts w:hint="default"/>
      </w:rPr>
    </w:lvl>
  </w:abstractNum>
  <w:abstractNum w:abstractNumId="8" w15:restartNumberingAfterBreak="0">
    <w:nsid w:val="53EE0D00"/>
    <w:multiLevelType w:val="singleLevel"/>
    <w:tmpl w:val="0409000F"/>
    <w:lvl w:ilvl="0">
      <w:start w:val="5"/>
      <w:numFmt w:val="decimal"/>
      <w:lvlText w:val="%1."/>
      <w:lvlJc w:val="left"/>
      <w:pPr>
        <w:tabs>
          <w:tab w:val="num" w:pos="360"/>
        </w:tabs>
        <w:ind w:left="360" w:hanging="360"/>
      </w:pPr>
      <w:rPr>
        <w:rFonts w:hint="default"/>
      </w:rPr>
    </w:lvl>
  </w:abstractNum>
  <w:abstractNum w:abstractNumId="9" w15:restartNumberingAfterBreak="0">
    <w:nsid w:val="63625F95"/>
    <w:multiLevelType w:val="singleLevel"/>
    <w:tmpl w:val="61CA1F4A"/>
    <w:lvl w:ilvl="0">
      <w:start w:val="1"/>
      <w:numFmt w:val="decimal"/>
      <w:lvlText w:val="%1."/>
      <w:lvlJc w:val="left"/>
      <w:pPr>
        <w:tabs>
          <w:tab w:val="num" w:pos="720"/>
        </w:tabs>
        <w:ind w:left="720" w:hanging="720"/>
      </w:pPr>
      <w:rPr>
        <w:rFonts w:hint="default"/>
      </w:rPr>
    </w:lvl>
  </w:abstractNum>
  <w:abstractNum w:abstractNumId="10" w15:restartNumberingAfterBreak="0">
    <w:nsid w:val="690F2C4B"/>
    <w:multiLevelType w:val="hybridMultilevel"/>
    <w:tmpl w:val="0DE2E7BE"/>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361159"/>
    <w:multiLevelType w:val="singleLevel"/>
    <w:tmpl w:val="5352046E"/>
    <w:lvl w:ilvl="0">
      <w:start w:val="1"/>
      <w:numFmt w:val="decimal"/>
      <w:lvlText w:val="%1."/>
      <w:lvlJc w:val="left"/>
      <w:pPr>
        <w:tabs>
          <w:tab w:val="num" w:pos="720"/>
        </w:tabs>
        <w:ind w:left="720" w:hanging="720"/>
      </w:pPr>
      <w:rPr>
        <w:rFonts w:hint="default"/>
      </w:rPr>
    </w:lvl>
  </w:abstractNum>
  <w:abstractNum w:abstractNumId="12" w15:restartNumberingAfterBreak="0">
    <w:nsid w:val="6D330382"/>
    <w:multiLevelType w:val="hybridMultilevel"/>
    <w:tmpl w:val="8230CF64"/>
    <w:lvl w:ilvl="0" w:tplc="EBBC1300">
      <w:start w:val="1"/>
      <w:numFmt w:val="bullet"/>
      <w:lvlText w:val=""/>
      <w:lvlJc w:val="left"/>
      <w:pPr>
        <w:tabs>
          <w:tab w:val="num" w:pos="720"/>
        </w:tabs>
        <w:ind w:left="72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5828B3"/>
    <w:multiLevelType w:val="hybridMultilevel"/>
    <w:tmpl w:val="3604A9FA"/>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0775FC1"/>
    <w:multiLevelType w:val="hybridMultilevel"/>
    <w:tmpl w:val="99C0EA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72E756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442B9B"/>
    <w:multiLevelType w:val="singleLevel"/>
    <w:tmpl w:val="2326DFFE"/>
    <w:lvl w:ilvl="0">
      <w:start w:val="1"/>
      <w:numFmt w:val="decimal"/>
      <w:lvlText w:val="%1."/>
      <w:lvlJc w:val="left"/>
      <w:pPr>
        <w:tabs>
          <w:tab w:val="num" w:pos="720"/>
        </w:tabs>
        <w:ind w:left="720" w:hanging="720"/>
      </w:pPr>
      <w:rPr>
        <w:rFonts w:hint="default"/>
      </w:rPr>
    </w:lvl>
  </w:abstractNum>
  <w:abstractNum w:abstractNumId="17" w15:restartNumberingAfterBreak="0">
    <w:nsid w:val="7D2F35C4"/>
    <w:multiLevelType w:val="hybridMultilevel"/>
    <w:tmpl w:val="C1D22190"/>
    <w:lvl w:ilvl="0" w:tplc="0409000B">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04335239">
    <w:abstractNumId w:val="9"/>
  </w:num>
  <w:num w:numId="2" w16cid:durableId="760375074">
    <w:abstractNumId w:val="0"/>
  </w:num>
  <w:num w:numId="3" w16cid:durableId="226066198">
    <w:abstractNumId w:val="16"/>
  </w:num>
  <w:num w:numId="4" w16cid:durableId="236676819">
    <w:abstractNumId w:val="7"/>
  </w:num>
  <w:num w:numId="5" w16cid:durableId="438257469">
    <w:abstractNumId w:val="11"/>
  </w:num>
  <w:num w:numId="6" w16cid:durableId="526674859">
    <w:abstractNumId w:val="3"/>
  </w:num>
  <w:num w:numId="7" w16cid:durableId="150827615">
    <w:abstractNumId w:val="8"/>
  </w:num>
  <w:num w:numId="8" w16cid:durableId="270406439">
    <w:abstractNumId w:val="17"/>
  </w:num>
  <w:num w:numId="9" w16cid:durableId="1758165342">
    <w:abstractNumId w:val="13"/>
  </w:num>
  <w:num w:numId="10" w16cid:durableId="1503665113">
    <w:abstractNumId w:val="5"/>
  </w:num>
  <w:num w:numId="11" w16cid:durableId="2020236624">
    <w:abstractNumId w:val="12"/>
  </w:num>
  <w:num w:numId="12" w16cid:durableId="1860855492">
    <w:abstractNumId w:val="2"/>
  </w:num>
  <w:num w:numId="13" w16cid:durableId="857231877">
    <w:abstractNumId w:val="1"/>
  </w:num>
  <w:num w:numId="14" w16cid:durableId="1263494123">
    <w:abstractNumId w:val="16"/>
    <w:lvlOverride w:ilvl="0">
      <w:startOverride w:val="1"/>
    </w:lvlOverride>
  </w:num>
  <w:num w:numId="15" w16cid:durableId="14577181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737965">
    <w:abstractNumId w:val="15"/>
  </w:num>
  <w:num w:numId="17" w16cid:durableId="1161434953">
    <w:abstractNumId w:val="4"/>
  </w:num>
  <w:num w:numId="18" w16cid:durableId="707803986">
    <w:abstractNumId w:val="6"/>
  </w:num>
  <w:num w:numId="19" w16cid:durableId="763107068">
    <w:abstractNumId w:val="10"/>
  </w:num>
  <w:num w:numId="20" w16cid:durableId="532957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0"/>
    <w:rsid w:val="0001095C"/>
    <w:rsid w:val="00011A22"/>
    <w:rsid w:val="00026430"/>
    <w:rsid w:val="0003088A"/>
    <w:rsid w:val="000379BD"/>
    <w:rsid w:val="000918E9"/>
    <w:rsid w:val="000955BF"/>
    <w:rsid w:val="000D4A95"/>
    <w:rsid w:val="000E5AAA"/>
    <w:rsid w:val="000F7FB7"/>
    <w:rsid w:val="0010435F"/>
    <w:rsid w:val="001054C0"/>
    <w:rsid w:val="001208C4"/>
    <w:rsid w:val="00172FDB"/>
    <w:rsid w:val="00186A84"/>
    <w:rsid w:val="0019040A"/>
    <w:rsid w:val="001C36A1"/>
    <w:rsid w:val="001C5A7F"/>
    <w:rsid w:val="00224471"/>
    <w:rsid w:val="00251971"/>
    <w:rsid w:val="00261A13"/>
    <w:rsid w:val="00286EB6"/>
    <w:rsid w:val="002A750A"/>
    <w:rsid w:val="002C0D3E"/>
    <w:rsid w:val="002C1183"/>
    <w:rsid w:val="002C56A3"/>
    <w:rsid w:val="002D0A3B"/>
    <w:rsid w:val="00351654"/>
    <w:rsid w:val="00363730"/>
    <w:rsid w:val="00365DB1"/>
    <w:rsid w:val="003957B6"/>
    <w:rsid w:val="003961E6"/>
    <w:rsid w:val="003A6234"/>
    <w:rsid w:val="003B247F"/>
    <w:rsid w:val="003B7610"/>
    <w:rsid w:val="003F7EEE"/>
    <w:rsid w:val="00405BC8"/>
    <w:rsid w:val="004511E2"/>
    <w:rsid w:val="00454CCB"/>
    <w:rsid w:val="00456E46"/>
    <w:rsid w:val="00474CD3"/>
    <w:rsid w:val="004B2B16"/>
    <w:rsid w:val="004C25BE"/>
    <w:rsid w:val="004C27F5"/>
    <w:rsid w:val="004D01C4"/>
    <w:rsid w:val="004E4659"/>
    <w:rsid w:val="0054385E"/>
    <w:rsid w:val="00545B40"/>
    <w:rsid w:val="00550A48"/>
    <w:rsid w:val="005540D4"/>
    <w:rsid w:val="00581B4B"/>
    <w:rsid w:val="00590AF5"/>
    <w:rsid w:val="00591CB8"/>
    <w:rsid w:val="00595A21"/>
    <w:rsid w:val="005A0597"/>
    <w:rsid w:val="005C4670"/>
    <w:rsid w:val="005C4737"/>
    <w:rsid w:val="005E5AF4"/>
    <w:rsid w:val="005F49B2"/>
    <w:rsid w:val="006314B2"/>
    <w:rsid w:val="006750AB"/>
    <w:rsid w:val="006B01FB"/>
    <w:rsid w:val="006B4792"/>
    <w:rsid w:val="006E7E6C"/>
    <w:rsid w:val="006F795D"/>
    <w:rsid w:val="00701DB0"/>
    <w:rsid w:val="0071265C"/>
    <w:rsid w:val="00730B05"/>
    <w:rsid w:val="0075214A"/>
    <w:rsid w:val="007E5F5A"/>
    <w:rsid w:val="007F4A8C"/>
    <w:rsid w:val="008266C8"/>
    <w:rsid w:val="00871CA8"/>
    <w:rsid w:val="00876E53"/>
    <w:rsid w:val="00880883"/>
    <w:rsid w:val="008D1B72"/>
    <w:rsid w:val="008E4DB1"/>
    <w:rsid w:val="0090638B"/>
    <w:rsid w:val="009134BF"/>
    <w:rsid w:val="009622ED"/>
    <w:rsid w:val="0096751C"/>
    <w:rsid w:val="00983F58"/>
    <w:rsid w:val="00987E89"/>
    <w:rsid w:val="009A0464"/>
    <w:rsid w:val="009D35F3"/>
    <w:rsid w:val="009D4502"/>
    <w:rsid w:val="00A107E8"/>
    <w:rsid w:val="00A3599C"/>
    <w:rsid w:val="00A3732E"/>
    <w:rsid w:val="00A65095"/>
    <w:rsid w:val="00AC7A66"/>
    <w:rsid w:val="00AF3F4A"/>
    <w:rsid w:val="00B064E1"/>
    <w:rsid w:val="00B15BF1"/>
    <w:rsid w:val="00B239A4"/>
    <w:rsid w:val="00B5547D"/>
    <w:rsid w:val="00B6073F"/>
    <w:rsid w:val="00B65AE2"/>
    <w:rsid w:val="00BD0DCF"/>
    <w:rsid w:val="00C23113"/>
    <w:rsid w:val="00C460C6"/>
    <w:rsid w:val="00C73296"/>
    <w:rsid w:val="00C80896"/>
    <w:rsid w:val="00C90B8B"/>
    <w:rsid w:val="00CA655F"/>
    <w:rsid w:val="00CB20EB"/>
    <w:rsid w:val="00CC255A"/>
    <w:rsid w:val="00CD117A"/>
    <w:rsid w:val="00CE4FD4"/>
    <w:rsid w:val="00D24B3E"/>
    <w:rsid w:val="00D354C1"/>
    <w:rsid w:val="00D438A5"/>
    <w:rsid w:val="00D60A64"/>
    <w:rsid w:val="00DA71CE"/>
    <w:rsid w:val="00E34CDF"/>
    <w:rsid w:val="00E62B38"/>
    <w:rsid w:val="00EA1444"/>
    <w:rsid w:val="00EB089F"/>
    <w:rsid w:val="00EE112F"/>
    <w:rsid w:val="00EE5024"/>
    <w:rsid w:val="00EF7A87"/>
    <w:rsid w:val="00EF7D3F"/>
    <w:rsid w:val="00F058AB"/>
    <w:rsid w:val="00F3115F"/>
    <w:rsid w:val="00F531F6"/>
    <w:rsid w:val="00FC073D"/>
    <w:rsid w:val="00FC2E85"/>
    <w:rsid w:val="00FD7757"/>
    <w:rsid w:val="00FF06DD"/>
    <w:rsid w:val="00FF7B52"/>
    <w:rsid w:val="03EC8CCE"/>
    <w:rsid w:val="1F5BD7DB"/>
    <w:rsid w:val="3C35F026"/>
    <w:rsid w:val="60A1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6EE7C"/>
  <w15:docId w15:val="{8E20CDC4-221A-44C6-9F5C-0F45756D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4FD4"/>
  </w:style>
  <w:style w:type="paragraph" w:styleId="Heading1">
    <w:name w:val="heading 1"/>
    <w:basedOn w:val="Normal"/>
    <w:next w:val="Normal"/>
    <w:qFormat/>
    <w:rsid w:val="00CE4FD4"/>
    <w:pPr>
      <w:keepNext/>
      <w:ind w:left="720"/>
      <w:outlineLvl w:val="0"/>
    </w:pPr>
    <w:rPr>
      <w:rFonts w:ascii="Comic Sans MS" w:hAnsi="Comic Sans MS"/>
      <w:b/>
      <w:sz w:val="24"/>
    </w:rPr>
  </w:style>
  <w:style w:type="paragraph" w:styleId="Heading2">
    <w:name w:val="heading 2"/>
    <w:basedOn w:val="Normal"/>
    <w:next w:val="Normal"/>
    <w:qFormat/>
    <w:rsid w:val="00CE4FD4"/>
    <w:pPr>
      <w:keepNext/>
      <w:jc w:val="center"/>
      <w:outlineLvl w:val="1"/>
    </w:pPr>
    <w:rPr>
      <w:rFonts w:ascii="Comic Sans MS" w:hAnsi="Comic Sans MS"/>
      <w:b/>
      <w:sz w:val="40"/>
    </w:rPr>
  </w:style>
  <w:style w:type="paragraph" w:styleId="Heading3">
    <w:name w:val="heading 3"/>
    <w:basedOn w:val="Normal"/>
    <w:next w:val="Normal"/>
    <w:qFormat/>
    <w:rsid w:val="004C25BE"/>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CE4FD4"/>
    <w:pPr>
      <w:tabs>
        <w:tab w:val="center" w:pos="4320"/>
        <w:tab w:val="right" w:pos="8640"/>
      </w:tabs>
    </w:pPr>
  </w:style>
  <w:style w:type="paragraph" w:styleId="Footer">
    <w:name w:val="footer"/>
    <w:basedOn w:val="Normal"/>
    <w:rsid w:val="00CE4FD4"/>
    <w:pPr>
      <w:tabs>
        <w:tab w:val="center" w:pos="4320"/>
        <w:tab w:val="right" w:pos="8640"/>
      </w:tabs>
    </w:pPr>
  </w:style>
  <w:style w:type="paragraph" w:styleId="BodyText">
    <w:name w:val="Body Text"/>
    <w:basedOn w:val="Normal"/>
    <w:link w:val="BodyTextChar"/>
    <w:rsid w:val="00CE4FD4"/>
    <w:rPr>
      <w:rFonts w:ascii="Comic Sans MS" w:hAnsi="Comic Sans MS"/>
      <w:sz w:val="22"/>
    </w:rPr>
  </w:style>
  <w:style w:type="paragraph" w:styleId="Title">
    <w:name w:val="Title"/>
    <w:basedOn w:val="Normal"/>
    <w:link w:val="TitleChar"/>
    <w:qFormat/>
    <w:rsid w:val="00CE4FD4"/>
    <w:pPr>
      <w:jc w:val="center"/>
    </w:pPr>
    <w:rPr>
      <w:rFonts w:ascii="Comic Sans MS" w:hAnsi="Comic Sans MS"/>
      <w:sz w:val="36"/>
    </w:rPr>
  </w:style>
  <w:style w:type="paragraph" w:styleId="Subtitle">
    <w:name w:val="Subtitle"/>
    <w:basedOn w:val="Normal"/>
    <w:link w:val="SubtitleChar"/>
    <w:qFormat/>
    <w:rsid w:val="00CE4FD4"/>
    <w:pPr>
      <w:jc w:val="center"/>
    </w:pPr>
    <w:rPr>
      <w:rFonts w:ascii="Comic Sans MS" w:hAnsi="Comic Sans MS"/>
      <w:sz w:val="36"/>
    </w:rPr>
  </w:style>
  <w:style w:type="paragraph" w:styleId="BalloonText">
    <w:name w:val="Balloon Text"/>
    <w:basedOn w:val="Normal"/>
    <w:semiHidden/>
    <w:rsid w:val="004C25BE"/>
    <w:rPr>
      <w:rFonts w:ascii="Tahoma" w:hAnsi="Tahoma" w:cs="Tahoma"/>
      <w:sz w:val="16"/>
      <w:szCs w:val="16"/>
    </w:rPr>
  </w:style>
  <w:style w:type="paragraph" w:styleId="BodyTextIndent">
    <w:name w:val="Body Text Indent"/>
    <w:basedOn w:val="Normal"/>
    <w:rsid w:val="004C25BE"/>
    <w:pPr>
      <w:spacing w:after="120"/>
      <w:ind w:left="360"/>
    </w:pPr>
  </w:style>
  <w:style w:type="paragraph" w:styleId="BodyTextIndent2">
    <w:name w:val="Body Text Indent 2"/>
    <w:basedOn w:val="Normal"/>
    <w:rsid w:val="004C25BE"/>
    <w:pPr>
      <w:spacing w:after="120" w:line="480" w:lineRule="auto"/>
      <w:ind w:left="360"/>
    </w:pPr>
  </w:style>
  <w:style w:type="paragraph" w:styleId="BodyTextIndent3">
    <w:name w:val="Body Text Indent 3"/>
    <w:basedOn w:val="Normal"/>
    <w:rsid w:val="004C25BE"/>
    <w:pPr>
      <w:spacing w:after="120"/>
      <w:ind w:left="360"/>
    </w:pPr>
    <w:rPr>
      <w:sz w:val="16"/>
      <w:szCs w:val="16"/>
    </w:rPr>
  </w:style>
  <w:style w:type="character" w:styleId="PageNumber">
    <w:name w:val="page number"/>
    <w:basedOn w:val="DefaultParagraphFont"/>
    <w:rsid w:val="007F4A8C"/>
  </w:style>
  <w:style w:type="character" w:styleId="TitleChar" w:customStyle="1">
    <w:name w:val="Title Char"/>
    <w:basedOn w:val="DefaultParagraphFont"/>
    <w:link w:val="Title"/>
    <w:rsid w:val="000D4A95"/>
    <w:rPr>
      <w:rFonts w:ascii="Comic Sans MS" w:hAnsi="Comic Sans MS"/>
      <w:sz w:val="36"/>
    </w:rPr>
  </w:style>
  <w:style w:type="character" w:styleId="BodyTextChar" w:customStyle="1">
    <w:name w:val="Body Text Char"/>
    <w:basedOn w:val="DefaultParagraphFont"/>
    <w:link w:val="BodyText"/>
    <w:rsid w:val="000D4A95"/>
    <w:rPr>
      <w:rFonts w:ascii="Comic Sans MS" w:hAnsi="Comic Sans MS"/>
      <w:sz w:val="22"/>
    </w:rPr>
  </w:style>
  <w:style w:type="character" w:styleId="SubtitleChar" w:customStyle="1">
    <w:name w:val="Subtitle Char"/>
    <w:basedOn w:val="DefaultParagraphFont"/>
    <w:link w:val="Subtitle"/>
    <w:rsid w:val="000D4A95"/>
    <w:rPr>
      <w:rFonts w:ascii="Comic Sans MS" w:hAnsi="Comic Sans MS"/>
      <w:sz w:val="36"/>
    </w:rPr>
  </w:style>
  <w:style w:type="paragraph" w:styleId="ListParagraph">
    <w:name w:val="List Paragraph"/>
    <w:basedOn w:val="Normal"/>
    <w:uiPriority w:val="34"/>
    <w:qFormat/>
    <w:rsid w:val="00F058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SUNY Training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Conference on Instructional Technologies</dc:title>
  <dc:creator>Leslie Mayville</dc:creator>
  <lastModifiedBy>Corcoran, Courtnee</lastModifiedBy>
  <revision>6</revision>
  <lastPrinted>2006-04-03T13:04:00.0000000Z</lastPrinted>
  <dcterms:created xsi:type="dcterms:W3CDTF">2026-02-17T13:31:00.0000000Z</dcterms:created>
  <dcterms:modified xsi:type="dcterms:W3CDTF">2026-02-27T20:12:47.3212492Z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1827215461</vt:i4>
  </property>
  <property fmtid="{D5CDD505-2E9C-101B-9397-08002B2CF9AE}" pid="3" name="_EmailSubject">
    <vt:lpwstr>Call for CIT 2005 - Just a Reminder</vt:lpwstr>
  </property>
  <property fmtid="{D5CDD505-2E9C-101B-9397-08002B2CF9AE}" pid="4" name="_AuthorEmail">
    <vt:lpwstr>CMurphy@TC.SUNY.EDU</vt:lpwstr>
  </property>
  <property fmtid="{D5CDD505-2E9C-101B-9397-08002B2CF9AE}" pid="5" name="_AuthorEmailDisplayName">
    <vt:lpwstr>Murphy, Cheryl</vt:lpwstr>
  </property>
  <property fmtid="{D5CDD505-2E9C-101B-9397-08002B2CF9AE}" pid="6" name="_ReviewingToolsShownOnce">
    <vt:lpwstr/>
  </property>
</Properties>
</file>